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925919"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5EA486EB" w:rsidR="00616F76" w:rsidRPr="00616F76" w:rsidRDefault="00616F76" w:rsidP="00616F76">
      <w:pPr>
        <w:rPr>
          <w:lang w:val="en-AU"/>
        </w:rPr>
      </w:pPr>
      <w:r w:rsidRPr="00616F76">
        <w:rPr>
          <w:lang w:val="en-AU"/>
        </w:rPr>
        <w:t>Compliance with regulation has always involved time-consuming and costly reporting and recordkeeping requirements.</w:t>
      </w:r>
      <w:r w:rsidR="00FB3BA9">
        <w:rPr>
          <w:lang w:val="en-AU"/>
        </w:rPr>
        <w:t xml:space="preserve">  </w:t>
      </w:r>
      <w:r w:rsidRPr="00616F76">
        <w:rPr>
          <w:lang w:val="en-AU"/>
        </w:rPr>
        <w:t>This cost is justified by the serious consequence</w:t>
      </w:r>
      <w:r w:rsidR="00737734">
        <w:rPr>
          <w:lang w:val="en-AU"/>
        </w:rPr>
        <w:t>s</w:t>
      </w:r>
      <w:r w:rsidRPr="00616F76">
        <w:rPr>
          <w:lang w:val="en-AU"/>
        </w:rPr>
        <w:t xml:space="preserve"> of non-compliance:  legal proceedings, fines and penalties, and the loss of income and reputation.   </w:t>
      </w:r>
    </w:p>
    <w:p w14:paraId="1B579842" w14:textId="68D8D77C" w:rsidR="00616F76" w:rsidRPr="00616F76" w:rsidRDefault="00616F76" w:rsidP="00616F76">
      <w:pPr>
        <w:rPr>
          <w:lang w:val="en-AU"/>
        </w:rPr>
      </w:pPr>
      <w:r w:rsidRPr="00616F76">
        <w:rPr>
          <w:lang w:val="en-AU"/>
        </w:rPr>
        <w:t>However, in the wake of the</w:t>
      </w:r>
      <w:r w:rsidR="00E15C88">
        <w:rPr>
          <w:lang w:val="en-AU"/>
        </w:rPr>
        <w:t xml:space="preserve"> widespread </w:t>
      </w:r>
      <w:r w:rsidR="00737734">
        <w:rPr>
          <w:lang w:val="en-AU"/>
        </w:rPr>
        <w:t>malpractice</w:t>
      </w:r>
      <w:r w:rsidR="00E15C88">
        <w:rPr>
          <w:lang w:val="en-AU"/>
        </w:rPr>
        <w:t xml:space="preserve"> that led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w:t>
      </w:r>
      <w:proofErr w:type="gramStart"/>
      <w:r w:rsidRPr="00616F76">
        <w:rPr>
          <w:lang w:val="en-AU"/>
        </w:rPr>
        <w:t>trust</w:t>
      </w:r>
      <w:r w:rsidR="00FB3BA9">
        <w:rPr>
          <w:lang w:val="en-AU"/>
        </w:rPr>
        <w:t xml:space="preserve"> </w:t>
      </w:r>
      <w:r w:rsidRPr="00616F76">
        <w:rPr>
          <w:lang w:val="en-AU"/>
        </w:rPr>
        <w:t>:</w:t>
      </w:r>
      <w:proofErr w:type="gramEnd"/>
      <w:r w:rsidRPr="00616F76">
        <w:rPr>
          <w:lang w:val="en-AU"/>
        </w:rPr>
        <w:t xml:space="preserve">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52E059BB" w14:textId="2CF4030F" w:rsidR="00616F76" w:rsidRDefault="00113550" w:rsidP="00616F76">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w:t>
      </w:r>
      <w:r w:rsidR="002F2A2F">
        <w:rPr>
          <w:lang w:val="en-AU"/>
        </w:rPr>
        <w:t>three</w:t>
      </w:r>
      <w:r>
        <w:rPr>
          <w:lang w:val="en-AU"/>
        </w:rPr>
        <w:t xml:space="preserve"> times the cost of implementing effective compliance measures</w:t>
      </w:r>
      <w:r>
        <w:rPr>
          <w:rStyle w:val="FootnoteReference"/>
          <w:lang w:val="en-AU"/>
        </w:rPr>
        <w:footnoteReference w:id="1"/>
      </w:r>
      <w:r w:rsidR="002F2A2F">
        <w:rPr>
          <w:lang w:val="en-AU"/>
        </w:rPr>
        <w:t>.</w:t>
      </w:r>
    </w:p>
    <w:p w14:paraId="1B60B8A8" w14:textId="77777777" w:rsidR="00113550" w:rsidRPr="00616F76" w:rsidRDefault="00113550" w:rsidP="00616F76">
      <w:pPr>
        <w:spacing w:before="0" w:after="0"/>
        <w:rPr>
          <w:lang w:val="en-AU"/>
        </w:rPr>
      </w:pPr>
    </w:p>
    <w:p w14:paraId="501F5456" w14:textId="203A0A8B" w:rsidR="00616F76" w:rsidRDefault="00616F76" w:rsidP="00616F76">
      <w:pPr>
        <w:spacing w:before="0" w:after="0"/>
        <w:rPr>
          <w:lang w:val="en-AU"/>
        </w:rPr>
      </w:pPr>
      <w:r w:rsidRPr="00616F76">
        <w:rPr>
          <w:lang w:val="en-AU"/>
        </w:rPr>
        <w:t>Maintaining compliance documentation in a central data store is an obvious measure that an organization can establish</w:t>
      </w:r>
      <w:r w:rsidR="00113550">
        <w:rPr>
          <w:lang w:val="en-AU"/>
        </w:rPr>
        <w:t xml:space="preserve"> to prove compliance</w:t>
      </w:r>
      <w:r w:rsidRPr="00616F76">
        <w:rPr>
          <w:lang w:val="en-AU"/>
        </w:rPr>
        <w:t xml:space="preserve">.  However, regulators require far more than a </w:t>
      </w:r>
      <w:r w:rsidRPr="00616F76">
        <w:rPr>
          <w:lang w:val="en-AU"/>
        </w:rPr>
        <w:lastRenderedPageBreak/>
        <w:t xml:space="preserve">simple collection of relevant documents.  For instance, the following </w:t>
      </w:r>
      <w:r w:rsidR="002F2A2F">
        <w:rPr>
          <w:lang w:val="en-AU"/>
        </w:rPr>
        <w:t xml:space="preserve">regulator’s </w:t>
      </w:r>
      <w:r w:rsidRPr="00616F76">
        <w:rPr>
          <w:lang w:val="en-AU"/>
        </w:rPr>
        <w:t>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2"/>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w:t>
      </w:r>
      <w:r w:rsidRPr="00616F76">
        <w:rPr>
          <w:lang w:val="en-AU"/>
        </w:rPr>
        <w:lastRenderedPageBreak/>
        <w:t xml:space="preserve">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3"/>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w:t>
      </w:r>
      <w:bookmarkStart w:id="0" w:name="_GoBack"/>
      <w:bookmarkEnd w:id="0"/>
      <w:r w:rsidR="005D49BE" w:rsidRPr="009D4AD7">
        <w:rPr>
          <w:i/>
          <w:iCs/>
          <w:sz w:val="18"/>
          <w:szCs w:val="20"/>
        </w:rPr>
        <w:t>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E7071" w14:textId="77777777" w:rsidR="00925919" w:rsidRDefault="00925919">
      <w:pPr>
        <w:spacing w:after="0" w:line="240" w:lineRule="auto"/>
      </w:pPr>
      <w:r>
        <w:separator/>
      </w:r>
    </w:p>
    <w:p w14:paraId="32EC925E" w14:textId="77777777" w:rsidR="00925919" w:rsidRDefault="00925919"/>
  </w:endnote>
  <w:endnote w:type="continuationSeparator" w:id="0">
    <w:p w14:paraId="02606EB8" w14:textId="77777777" w:rsidR="00925919" w:rsidRDefault="00925919">
      <w:pPr>
        <w:spacing w:after="0" w:line="240" w:lineRule="auto"/>
      </w:pPr>
      <w:r>
        <w:continuationSeparator/>
      </w:r>
    </w:p>
    <w:p w14:paraId="48843CFE" w14:textId="77777777" w:rsidR="00925919" w:rsidRDefault="009259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1E8F4" w14:textId="77777777" w:rsidR="00925919" w:rsidRDefault="00925919">
      <w:pPr>
        <w:spacing w:after="0" w:line="240" w:lineRule="auto"/>
      </w:pPr>
      <w:r>
        <w:separator/>
      </w:r>
    </w:p>
    <w:p w14:paraId="14D2C3B7" w14:textId="77777777" w:rsidR="00925919" w:rsidRDefault="00925919"/>
  </w:footnote>
  <w:footnote w:type="continuationSeparator" w:id="0">
    <w:p w14:paraId="5A76BF1E" w14:textId="77777777" w:rsidR="00925919" w:rsidRDefault="00925919">
      <w:pPr>
        <w:spacing w:after="0" w:line="240" w:lineRule="auto"/>
      </w:pPr>
      <w:r>
        <w:continuationSeparator/>
      </w:r>
    </w:p>
    <w:p w14:paraId="188EC328" w14:textId="77777777" w:rsidR="00925919" w:rsidRDefault="00925919"/>
  </w:footnote>
  <w:footnote w:id="1">
    <w:p w14:paraId="0EE1F9EC" w14:textId="77777777" w:rsidR="00113550" w:rsidRDefault="00113550" w:rsidP="00113550">
      <w:pPr>
        <w:spacing w:before="0" w:after="0"/>
        <w:jc w:val="left"/>
        <w:rPr>
          <w:rFonts w:ascii="Times New Roman" w:hAnsi="Times New Roman"/>
          <w:color w:val="auto"/>
        </w:rPr>
      </w:pPr>
      <w:r>
        <w:rPr>
          <w:rStyle w:val="FootnoteReference"/>
        </w:rPr>
        <w:footnoteRef/>
      </w:r>
      <w:r>
        <w:t xml:space="preserve"> </w:t>
      </w:r>
      <w:hyperlink r:id="rId1" w:history="1">
        <w:r w:rsidRPr="00113550">
          <w:rPr>
            <w:rStyle w:val="Hyperlink"/>
            <w:sz w:val="20"/>
            <w:szCs w:val="20"/>
          </w:rPr>
          <w:t>https://dynamic.globalscape.com/files/Whitepaper-The-True-Cost-of-Compliance-with-Data-Protection-Regulations.pdf</w:t>
        </w:r>
      </w:hyperlink>
    </w:p>
    <w:p w14:paraId="62700617" w14:textId="0E3D9832" w:rsidR="00113550" w:rsidRDefault="00113550">
      <w:pPr>
        <w:pStyle w:val="FootnoteText"/>
      </w:pPr>
    </w:p>
  </w:footnote>
  <w:footnote w:id="2">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2"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3">
    <w:p w14:paraId="10CD9104" w14:textId="7331C289" w:rsidR="0045572C" w:rsidRPr="006F3DC9" w:rsidRDefault="0045572C" w:rsidP="006F3DC9">
      <w:pPr>
        <w:pStyle w:val="FootNote"/>
      </w:pPr>
      <w:r>
        <w:rPr>
          <w:rStyle w:val="FootnoteReference"/>
        </w:rPr>
        <w:footnoteRef/>
      </w:r>
      <w:r w:rsidRPr="00897E0C">
        <w:t xml:space="preserve"> </w:t>
      </w:r>
      <w:hyperlink r:id="rId3" w:history="1">
        <w:r w:rsidR="006F3DC9" w:rsidRPr="00350FB9">
          <w:rPr>
            <w:rStyle w:val="Hyperlink"/>
          </w:rPr>
          <w:t>https://www.corporatecomplianceinsights.com/true-c</w:t>
        </w:r>
        <w:r w:rsidR="006F3DC9" w:rsidRPr="00350FB9">
          <w:rPr>
            <w:rStyle w:val="Hyperlink"/>
          </w:rPr>
          <w:t>o</w:t>
        </w:r>
        <w:r w:rsidR="006F3DC9" w:rsidRPr="00350FB9">
          <w:rPr>
            <w:rStyle w:val="Hyperlink"/>
          </w:rPr>
          <w:t>st-complianc</w:t>
        </w:r>
        <w:r w:rsidR="006F3DC9" w:rsidRPr="00350FB9">
          <w:rPr>
            <w:rStyle w:val="Hyperlink"/>
          </w:rPr>
          <w:t>e</w:t>
        </w:r>
        <w:r w:rsidR="006F3DC9" w:rsidRPr="00350FB9">
          <w:rPr>
            <w:rStyle w:val="Hyperlink"/>
          </w:rPr>
          <w:t>/-</w:t>
        </w:r>
      </w:hyperlink>
      <w:r w:rsidR="006F3DC9">
        <w:t xml:space="preserve"> b</w:t>
      </w:r>
      <w:r w:rsidR="006F3DC9" w:rsidRPr="006F3DC9">
        <w:t>ased on an analysis of 53 multinational corporations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925919">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925919">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925919">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13550"/>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B6688"/>
    <w:rsid w:val="004025F3"/>
    <w:rsid w:val="0045572C"/>
    <w:rsid w:val="005415BF"/>
    <w:rsid w:val="005978DE"/>
    <w:rsid w:val="005D49BE"/>
    <w:rsid w:val="00616F76"/>
    <w:rsid w:val="00646E92"/>
    <w:rsid w:val="0066153C"/>
    <w:rsid w:val="00674E40"/>
    <w:rsid w:val="006B7656"/>
    <w:rsid w:val="006C62E9"/>
    <w:rsid w:val="006C6688"/>
    <w:rsid w:val="006D4AE7"/>
    <w:rsid w:val="006E57DD"/>
    <w:rsid w:val="006E60FB"/>
    <w:rsid w:val="006F3DC9"/>
    <w:rsid w:val="00737734"/>
    <w:rsid w:val="007405DC"/>
    <w:rsid w:val="00820A59"/>
    <w:rsid w:val="008439DB"/>
    <w:rsid w:val="008C237E"/>
    <w:rsid w:val="008E7251"/>
    <w:rsid w:val="00917866"/>
    <w:rsid w:val="00925919"/>
    <w:rsid w:val="00941112"/>
    <w:rsid w:val="00943976"/>
    <w:rsid w:val="00961530"/>
    <w:rsid w:val="00994730"/>
    <w:rsid w:val="009C184F"/>
    <w:rsid w:val="009D4AD7"/>
    <w:rsid w:val="009F32E5"/>
    <w:rsid w:val="00A315AD"/>
    <w:rsid w:val="00A3589C"/>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rporatecomplianceinsights.com/true-cost-compliance/-" TargetMode="External"/><Relationship Id="rId2" Type="http://schemas.openxmlformats.org/officeDocument/2006/relationships/hyperlink" Target="https://www.apra.gov.au/sites/default/files/Prudential-Practice-Guide-CPG-235-Managing-Data-Risk_1.pdf" TargetMode="External"/><Relationship Id="rId1" Type="http://schemas.openxmlformats.org/officeDocument/2006/relationships/hyperlink" Target="https://dynamic.globalscape.com/files/Whitepaper-The-True-Cost-of-Compliance-with-Data-Protection-Regulation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EC4C2-4F83-E54B-9C1E-1004A25EE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1274</Words>
  <Characters>7263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3</cp:revision>
  <cp:lastPrinted>2020-03-03T02:49:00Z</cp:lastPrinted>
  <dcterms:created xsi:type="dcterms:W3CDTF">2020-03-03T02:49:00Z</dcterms:created>
  <dcterms:modified xsi:type="dcterms:W3CDTF">2020-03-03T02:49:00Z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